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939A7">
      <w:pPr>
        <w:rPr>
          <w:rFonts w:hint="eastAsia"/>
          <w:sz w:val="32"/>
          <w:szCs w:val="32"/>
        </w:rPr>
      </w:pPr>
      <w:r>
        <w:rPr>
          <w:rFonts w:hint="eastAsia" w:ascii="微软雅黑" w:hAnsi="微软雅黑" w:eastAsia="微软雅黑" w:cs="微软雅黑"/>
          <w:b/>
          <w:bCs/>
          <w:sz w:val="32"/>
          <w:szCs w:val="32"/>
        </w:rPr>
        <w:t>一、政策导向已经明确</w:t>
      </w:r>
      <w:r>
        <w:rPr>
          <w:rFonts w:hint="eastAsia"/>
          <w:sz w:val="32"/>
          <w:szCs w:val="32"/>
        </w:rPr>
        <w:br w:type="textWrapping"/>
      </w:r>
      <w:r>
        <w:rPr>
          <w:rFonts w:hint="eastAsia"/>
          <w:b/>
          <w:bCs/>
          <w:sz w:val="32"/>
          <w:szCs w:val="32"/>
        </w:rPr>
        <w:t>（一）法律母法确立追溯制度。</w:t>
      </w:r>
      <w:r>
        <w:rPr>
          <w:rFonts w:hint="eastAsia"/>
          <w:sz w:val="32"/>
          <w:szCs w:val="32"/>
        </w:rPr>
        <w:t>《中华人民共和国药品管理法》（2019 年修订）第十二条明确"国家建立健全药品追溯制度"；第三十九条　中药饮片生产企业履行药品上市许可持有人的相关义务，对中药饮片生产、销售实行全过程管理，建立中药饮片追溯体系，保证中药饮片安全、有效、可追溯。此为中药饮片追溯的上</w:t>
      </w:r>
      <w:bookmarkStart w:id="0" w:name="_GoBack"/>
      <w:bookmarkEnd w:id="0"/>
      <w:r>
        <w:rPr>
          <w:rFonts w:hint="eastAsia"/>
          <w:sz w:val="32"/>
          <w:szCs w:val="32"/>
        </w:rPr>
        <w:t>位法依据。</w:t>
      </w:r>
    </w:p>
    <w:p w14:paraId="48AE684E">
      <w:pPr>
        <w:rPr>
          <w:rFonts w:hint="eastAsia"/>
          <w:sz w:val="32"/>
          <w:szCs w:val="32"/>
        </w:rPr>
      </w:pPr>
    </w:p>
    <w:p w14:paraId="7C958383">
      <w:pPr>
        <w:rPr>
          <w:rFonts w:hint="eastAsia"/>
          <w:sz w:val="32"/>
          <w:szCs w:val="32"/>
        </w:rPr>
      </w:pPr>
      <w:r>
        <w:rPr>
          <w:rFonts w:hint="eastAsia"/>
          <w:b/>
          <w:bCs/>
          <w:sz w:val="32"/>
          <w:szCs w:val="32"/>
        </w:rPr>
        <w:t>（二）行政法规明确饮片企业追溯义务。</w:t>
      </w:r>
      <w:r>
        <w:rPr>
          <w:rFonts w:hint="eastAsia"/>
          <w:sz w:val="32"/>
          <w:szCs w:val="32"/>
        </w:rPr>
        <w:t>2026 年 1 月 16 日，国务院公布新修订《中华人民共和国药品管理法实施条例》（国务院令第 828 号），自 2026 年 5 月 15 日起施行。其第二十九条首次在行政法规层面明确：中药饮片生产企业、中药配方颗粒生产企业应当履行药品上市许可持有人相关义务，对生产、销售实行全过程管理，建立追溯体系，保证安全、有效、可追溯。</w:t>
      </w:r>
    </w:p>
    <w:p w14:paraId="487C6E82">
      <w:pPr>
        <w:rPr>
          <w:rFonts w:hint="eastAsia"/>
          <w:sz w:val="32"/>
          <w:szCs w:val="32"/>
        </w:rPr>
      </w:pPr>
    </w:p>
    <w:p w14:paraId="2FFB3C05">
      <w:pPr>
        <w:rPr>
          <w:rFonts w:hint="eastAsia"/>
          <w:sz w:val="32"/>
          <w:szCs w:val="32"/>
        </w:rPr>
      </w:pPr>
      <w:r>
        <w:rPr>
          <w:rFonts w:hint="eastAsia"/>
          <w:b/>
          <w:bCs/>
          <w:sz w:val="32"/>
          <w:szCs w:val="32"/>
        </w:rPr>
        <w:t>（三）医保编码升级，追溯码方案落地。</w:t>
      </w:r>
      <w:r>
        <w:rPr>
          <w:rFonts w:hint="eastAsia"/>
          <w:sz w:val="32"/>
          <w:szCs w:val="32"/>
        </w:rPr>
        <w:t>2025 年 12 月 23 日，国家医保局修订中药饮片医保编码规则，新增"道地药材标识码""企业码"，并预告中药饮片追溯码编码方案，中药饮片医保编码身份实现升级。</w:t>
      </w:r>
    </w:p>
    <w:p w14:paraId="45CE398E">
      <w:pPr>
        <w:rPr>
          <w:rFonts w:hint="eastAsia"/>
          <w:sz w:val="32"/>
          <w:szCs w:val="32"/>
        </w:rPr>
      </w:pPr>
    </w:p>
    <w:p w14:paraId="117871F6">
      <w:pPr>
        <w:rPr>
          <w:rFonts w:hint="eastAsia"/>
          <w:sz w:val="32"/>
          <w:szCs w:val="32"/>
        </w:rPr>
      </w:pPr>
      <w:r>
        <w:rPr>
          <w:rFonts w:hint="eastAsia"/>
          <w:b/>
          <w:bCs/>
          <w:sz w:val="32"/>
          <w:szCs w:val="32"/>
        </w:rPr>
        <w:t>（四）编码要求明确追溯码规则。</w:t>
      </w:r>
      <w:r>
        <w:rPr>
          <w:rFonts w:hint="eastAsia"/>
          <w:sz w:val="32"/>
          <w:szCs w:val="32"/>
        </w:rPr>
        <w:t>2026 年 7 月 1 日，国家医保局、国家药监局综合司发布《中药饮片追溯码编码要求》（公开征求意见），明确：1. 追溯码须具唯一性、通用性、实用性、可扩展性；标识码是对应企业、品名、标准、装量、包装级别的唯一代码；须关联医保编码、基原、产地、生产日期、批号、保质期，按需可关联 GAP。2. 全过程赋码监测，分步骤、分品种逐步推进；生产、经营、医疗机构通过信息化手段在追溯系统中对产、经、用各环节追踪溯源。3. 生产、经营企业须将追溯信息上传国家医保平台；各级医保部门推进追溯码在集采中应用，并据上传的追溯码信息结算。4. 集采探索将追溯码作为评分指标，达标给分；鼓励企业关联药材信息实现全过程追溯，鼓励医疗机构优先采购有追溯码的饮片。</w:t>
      </w:r>
    </w:p>
    <w:p w14:paraId="08D52ADA">
      <w:pPr>
        <w:rPr>
          <w:rFonts w:hint="eastAsia"/>
          <w:sz w:val="32"/>
          <w:szCs w:val="32"/>
        </w:rPr>
      </w:pPr>
    </w:p>
    <w:p w14:paraId="437C6CA9">
      <w:pPr>
        <w:rPr>
          <w:rFonts w:hint="default"/>
          <w:sz w:val="32"/>
          <w:szCs w:val="32"/>
          <w:lang w:val="en-US" w:eastAsia="zh-CN"/>
        </w:rPr>
      </w:pPr>
      <w:r>
        <w:rPr>
          <w:rFonts w:hint="eastAsia"/>
          <w:b/>
          <w:bCs/>
          <w:sz w:val="32"/>
          <w:szCs w:val="32"/>
        </w:rPr>
        <w:t>（五）技术指南与数据集配套。</w:t>
      </w:r>
      <w:r>
        <w:rPr>
          <w:rFonts w:hint="eastAsia"/>
          <w:sz w:val="32"/>
          <w:szCs w:val="32"/>
        </w:rPr>
        <w:t>2026 年 7 月 3 日，国家药监局发布《编码技术指南》《追溯基本数据集》（公开征求意见），规定编码规则、发码机构须备案、数据子集字段等配套要求。</w:t>
      </w:r>
      <w:r>
        <w:rPr>
          <w:rFonts w:hint="eastAsia"/>
          <w:sz w:val="32"/>
          <w:szCs w:val="32"/>
          <w:lang w:val="en-US" w:eastAsia="zh-CN"/>
        </w:rPr>
        <w:br w:type="textWrapping"/>
      </w:r>
    </w:p>
    <w:p w14:paraId="4819A3AF">
      <w:pPr>
        <w:rPr>
          <w:rFonts w:hint="default"/>
          <w:sz w:val="32"/>
          <w:szCs w:val="32"/>
          <w:lang w:val="en-US" w:eastAsia="zh-CN"/>
        </w:rPr>
      </w:pPr>
      <w:r>
        <w:rPr>
          <w:rFonts w:hint="eastAsia" w:ascii="微软雅黑" w:hAnsi="微软雅黑" w:eastAsia="微软雅黑" w:cs="微软雅黑"/>
          <w:b/>
          <w:bCs/>
          <w:sz w:val="32"/>
          <w:szCs w:val="32"/>
          <w:lang w:val="en-US" w:eastAsia="zh-CN"/>
        </w:rPr>
        <w:t>二、政策要求企业赋"药品级追溯码"，而非普通商品条码</w:t>
      </w:r>
      <w:r>
        <w:rPr>
          <w:rFonts w:hint="default"/>
          <w:b/>
          <w:bCs/>
          <w:sz w:val="32"/>
          <w:szCs w:val="32"/>
          <w:lang w:val="en-US" w:eastAsia="zh-CN"/>
        </w:rPr>
        <w:br w:type="textWrapping"/>
      </w:r>
      <w:r>
        <w:rPr>
          <w:rFonts w:hint="default"/>
          <w:sz w:val="32"/>
          <w:szCs w:val="32"/>
          <w:lang w:val="en-US" w:eastAsia="zh-CN"/>
        </w:rPr>
        <w:t>综合上述政策文件，对"企业应当上什么码"的界定十分清晰，要点如下：</w:t>
      </w:r>
    </w:p>
    <w:p w14:paraId="7EFAA910">
      <w:pPr>
        <w:rPr>
          <w:rFonts w:hint="default"/>
          <w:sz w:val="32"/>
          <w:szCs w:val="32"/>
          <w:lang w:val="en-US" w:eastAsia="zh-CN"/>
        </w:rPr>
      </w:pPr>
      <w:r>
        <w:rPr>
          <w:rFonts w:hint="default"/>
          <w:sz w:val="32"/>
          <w:szCs w:val="32"/>
          <w:lang w:val="en-US" w:eastAsia="zh-CN"/>
        </w:rPr>
        <w:t>（一）追溯码的法律定位：属"药品追溯码"，不是商品贸易码</w:t>
      </w:r>
    </w:p>
    <w:p w14:paraId="1C79727C">
      <w:pPr>
        <w:rPr>
          <w:rFonts w:hint="default"/>
          <w:sz w:val="32"/>
          <w:szCs w:val="32"/>
          <w:lang w:val="en-US" w:eastAsia="zh-CN"/>
        </w:rPr>
      </w:pPr>
      <w:r>
        <w:rPr>
          <w:rFonts w:hint="default"/>
          <w:sz w:val="32"/>
          <w:szCs w:val="32"/>
          <w:lang w:val="en-US" w:eastAsia="zh-CN"/>
        </w:rPr>
        <w:t>政策将"中药饮片追溯码"明确界定为"药品追溯码的一种"，由"饮片标识码＋生产标识码"两部分组成，须具备唯一性、通用性、实用性、可扩展性。这意味着企业须采用符合药品监管规则的追溯码，普通商品条码、物流码不能替代药品追溯码的合规职能。</w:t>
      </w:r>
      <w:r>
        <w:rPr>
          <w:rFonts w:hint="default"/>
          <w:sz w:val="32"/>
          <w:szCs w:val="32"/>
          <w:lang w:val="en-US" w:eastAsia="zh-CN"/>
        </w:rPr>
        <w:br w:type="textWrapping"/>
      </w:r>
    </w:p>
    <w:p w14:paraId="03492B83">
      <w:pPr>
        <w:rPr>
          <w:rFonts w:hint="default"/>
          <w:sz w:val="32"/>
          <w:szCs w:val="32"/>
          <w:lang w:val="en-US" w:eastAsia="zh-CN"/>
        </w:rPr>
      </w:pPr>
      <w:r>
        <w:rPr>
          <w:rFonts w:hint="default"/>
          <w:sz w:val="32"/>
          <w:szCs w:val="32"/>
          <w:lang w:val="en-US" w:eastAsia="zh-CN"/>
        </w:rPr>
        <w:t>（二）编码须满足统一规则</w:t>
      </w:r>
    </w:p>
    <w:p w14:paraId="2DB27A85">
      <w:pPr>
        <w:rPr>
          <w:rFonts w:hint="default"/>
          <w:sz w:val="32"/>
          <w:szCs w:val="32"/>
          <w:lang w:val="en-US" w:eastAsia="zh-CN"/>
        </w:rPr>
      </w:pPr>
      <w:r>
        <w:rPr>
          <w:rFonts w:hint="default"/>
          <w:sz w:val="32"/>
          <w:szCs w:val="32"/>
          <w:lang w:val="en-US" w:eastAsia="zh-CN"/>
        </w:rPr>
        <w:t>追溯码须关联医保药品编码、药材基原、药材产地、生产日期、产品批号、保质期等关键信息，按需可关联中药材 GAP 规范化生产追溯信息；编码对象覆盖各级销售包装单元，须保证图像清晰、可识读，并落实"包装层级关联"（大、中、小包装逐级绑定、可追溯）。</w:t>
      </w:r>
      <w:r>
        <w:rPr>
          <w:rFonts w:hint="default"/>
          <w:sz w:val="32"/>
          <w:szCs w:val="32"/>
          <w:lang w:val="en-US" w:eastAsia="zh-CN"/>
        </w:rPr>
        <w:br w:type="textWrapping"/>
      </w:r>
    </w:p>
    <w:p w14:paraId="57EACB21">
      <w:pPr>
        <w:rPr>
          <w:rFonts w:hint="default"/>
          <w:sz w:val="32"/>
          <w:szCs w:val="32"/>
          <w:lang w:val="en-US" w:eastAsia="zh-CN"/>
        </w:rPr>
      </w:pPr>
      <w:r>
        <w:rPr>
          <w:rFonts w:hint="default"/>
          <w:sz w:val="32"/>
          <w:szCs w:val="32"/>
          <w:lang w:val="en-US" w:eastAsia="zh-CN"/>
        </w:rPr>
        <w:t>（三）两条合规实现路径，企业可依规选型</w:t>
      </w:r>
    </w:p>
    <w:p w14:paraId="713D7575">
      <w:pPr>
        <w:rPr>
          <w:rFonts w:hint="default"/>
          <w:sz w:val="32"/>
          <w:szCs w:val="32"/>
          <w:lang w:val="en-US" w:eastAsia="zh-CN"/>
        </w:rPr>
      </w:pPr>
      <w:r>
        <w:rPr>
          <w:rFonts w:hint="default"/>
          <w:sz w:val="32"/>
          <w:szCs w:val="32"/>
          <w:lang w:val="en-US" w:eastAsia="zh-CN"/>
        </w:rPr>
        <w:t>政策给出两种符合编码要求的实现路径：一是采用国标规则（代码长度 20 个字符、前 7 位为饮片标识码）；二是采用符合 ISO/IEC 15459 系列国际标准的编码规则。MA 码（全球统一标识代码）即属于后者，为我国自主研发、符合国际标准的药品级追溯码，可作为企业合规选型的重要参考。</w:t>
      </w:r>
      <w:r>
        <w:rPr>
          <w:rFonts w:hint="default"/>
          <w:sz w:val="32"/>
          <w:szCs w:val="32"/>
          <w:lang w:val="en-US" w:eastAsia="zh-CN"/>
        </w:rPr>
        <w:br w:type="textWrapping"/>
      </w:r>
    </w:p>
    <w:p w14:paraId="62A653CA">
      <w:pPr>
        <w:rPr>
          <w:rFonts w:hint="default"/>
          <w:sz w:val="32"/>
          <w:szCs w:val="32"/>
          <w:lang w:val="en-US" w:eastAsia="zh-CN"/>
        </w:rPr>
      </w:pPr>
      <w:r>
        <w:rPr>
          <w:rFonts w:hint="default"/>
          <w:sz w:val="32"/>
          <w:szCs w:val="32"/>
          <w:lang w:val="en-US" w:eastAsia="zh-CN"/>
        </w:rPr>
        <w:t>（四）发码机构须合规备案</w:t>
      </w:r>
    </w:p>
    <w:p w14:paraId="1891E543">
      <w:pPr>
        <w:rPr>
          <w:rFonts w:hint="default"/>
          <w:sz w:val="32"/>
          <w:szCs w:val="32"/>
          <w:lang w:val="en-US" w:eastAsia="zh-CN"/>
        </w:rPr>
      </w:pPr>
      <w:r>
        <w:rPr>
          <w:rFonts w:hint="default"/>
          <w:sz w:val="32"/>
          <w:szCs w:val="32"/>
          <w:lang w:val="en-US" w:eastAsia="zh-CN"/>
        </w:rPr>
        <w:t>政策要求发码机构须为中国境内法人机构，具备完善管理制度与运行体系，符合数据安全要求，并在发放追溯码前向药品追溯协同服务平台备案，确保追溯码唯一性与全链条闭环。因此，企业选择发码与系统服务方时，应优先核验其备案资质与标准符合性。</w:t>
      </w:r>
      <w:r>
        <w:rPr>
          <w:rFonts w:hint="default"/>
          <w:sz w:val="32"/>
          <w:szCs w:val="32"/>
          <w:lang w:val="en-US" w:eastAsia="zh-CN"/>
        </w:rPr>
        <w:br w:type="textWrapping"/>
      </w:r>
    </w:p>
    <w:p w14:paraId="65BE6468">
      <w:pPr>
        <w:rPr>
          <w:rFonts w:hint="eastAsia" w:eastAsiaTheme="minorEastAsia"/>
          <w:sz w:val="32"/>
          <w:szCs w:val="32"/>
          <w:lang w:val="en-US" w:eastAsia="zh-CN"/>
        </w:rPr>
      </w:pPr>
      <w:r>
        <w:rPr>
          <w:rFonts w:hint="eastAsia" w:ascii="微软雅黑" w:hAnsi="微软雅黑" w:eastAsia="微软雅黑" w:cs="微软雅黑"/>
          <w:b/>
          <w:bCs/>
          <w:sz w:val="32"/>
          <w:szCs w:val="32"/>
          <w:lang w:val="en-US" w:eastAsia="zh-CN"/>
        </w:rPr>
        <w:t>三、企业落地将面临的主要困难</w:t>
      </w:r>
      <w:r>
        <w:rPr>
          <w:rFonts w:hint="eastAsia" w:eastAsiaTheme="minorEastAsia"/>
          <w:sz w:val="32"/>
          <w:szCs w:val="32"/>
          <w:lang w:val="en-US" w:eastAsia="zh-CN"/>
        </w:rPr>
        <w:br w:type="textWrapping"/>
      </w:r>
      <w:r>
        <w:rPr>
          <w:rFonts w:hint="eastAsia" w:eastAsiaTheme="minorEastAsia"/>
          <w:sz w:val="32"/>
          <w:szCs w:val="32"/>
          <w:lang w:val="en-US" w:eastAsia="zh-CN"/>
        </w:rPr>
        <w:t>尽管政策方向明确，但企业在合规落地过程中普遍面临以下现实问题，须提前应对：</w:t>
      </w:r>
    </w:p>
    <w:p w14:paraId="00128DA7">
      <w:pPr>
        <w:rPr>
          <w:rFonts w:hint="eastAsia" w:eastAsiaTheme="minorEastAsia"/>
          <w:sz w:val="32"/>
          <w:szCs w:val="32"/>
          <w:lang w:val="en-US" w:eastAsia="zh-CN"/>
        </w:rPr>
      </w:pPr>
      <w:r>
        <w:rPr>
          <w:rFonts w:hint="eastAsia" w:eastAsiaTheme="minorEastAsia"/>
          <w:sz w:val="32"/>
          <w:szCs w:val="32"/>
          <w:lang w:val="en-US" w:eastAsia="zh-CN"/>
        </w:rPr>
        <w:t>（一）生产企业</w:t>
      </w:r>
    </w:p>
    <w:p w14:paraId="08B13AE5">
      <w:pPr>
        <w:rPr>
          <w:rFonts w:hint="eastAsia" w:eastAsiaTheme="minorEastAsia"/>
          <w:sz w:val="32"/>
          <w:szCs w:val="32"/>
          <w:lang w:val="en-US" w:eastAsia="zh-CN"/>
        </w:rPr>
      </w:pPr>
      <w:r>
        <w:rPr>
          <w:rFonts w:hint="eastAsia" w:eastAsiaTheme="minorEastAsia"/>
          <w:sz w:val="32"/>
          <w:szCs w:val="32"/>
          <w:lang w:val="en-US" w:eastAsia="zh-CN"/>
        </w:rPr>
        <w:t>· 未赋码不得出厂，飞检核到"无码不生产"即违规；</w:t>
      </w:r>
    </w:p>
    <w:p w14:paraId="208EFB7A">
      <w:pPr>
        <w:rPr>
          <w:rFonts w:hint="eastAsia" w:eastAsiaTheme="minorEastAsia"/>
          <w:sz w:val="32"/>
          <w:szCs w:val="32"/>
          <w:lang w:val="en-US" w:eastAsia="zh-CN"/>
        </w:rPr>
      </w:pPr>
      <w:r>
        <w:rPr>
          <w:rFonts w:hint="eastAsia" w:eastAsiaTheme="minorEastAsia"/>
          <w:sz w:val="32"/>
          <w:szCs w:val="32"/>
          <w:lang w:val="en-US" w:eastAsia="zh-CN"/>
        </w:rPr>
        <w:t>· 散装、道地饮片难溯源，产地、批号、质检信息难以系统绑定；</w:t>
      </w:r>
    </w:p>
    <w:p w14:paraId="5E293629">
      <w:pPr>
        <w:rPr>
          <w:rFonts w:hint="eastAsia" w:eastAsiaTheme="minorEastAsia"/>
          <w:sz w:val="32"/>
          <w:szCs w:val="32"/>
          <w:lang w:val="en-US" w:eastAsia="zh-CN"/>
        </w:rPr>
      </w:pPr>
      <w:r>
        <w:rPr>
          <w:rFonts w:hint="eastAsia" w:eastAsiaTheme="minorEastAsia"/>
          <w:sz w:val="32"/>
          <w:szCs w:val="32"/>
          <w:lang w:val="en-US" w:eastAsia="zh-CN"/>
        </w:rPr>
        <w:t>· 质量责任难闭环，问题批次召回依赖人工翻账；</w:t>
      </w:r>
    </w:p>
    <w:p w14:paraId="43A9F504">
      <w:pPr>
        <w:rPr>
          <w:rFonts w:hint="eastAsia" w:eastAsiaTheme="minorEastAsia"/>
          <w:sz w:val="32"/>
          <w:szCs w:val="32"/>
          <w:lang w:val="en-US" w:eastAsia="zh-CN"/>
        </w:rPr>
      </w:pPr>
      <w:r>
        <w:rPr>
          <w:rFonts w:hint="eastAsia" w:eastAsiaTheme="minorEastAsia"/>
          <w:sz w:val="32"/>
          <w:szCs w:val="32"/>
          <w:lang w:val="en-US" w:eastAsia="zh-CN"/>
        </w:rPr>
        <w:t>· 集采投标因无码丢分丢单；</w:t>
      </w:r>
    </w:p>
    <w:p w14:paraId="747B6F66">
      <w:pPr>
        <w:rPr>
          <w:rFonts w:hint="eastAsia" w:eastAsiaTheme="minorEastAsia"/>
          <w:sz w:val="32"/>
          <w:szCs w:val="32"/>
          <w:lang w:val="en-US" w:eastAsia="zh-CN"/>
        </w:rPr>
      </w:pPr>
      <w:r>
        <w:rPr>
          <w:rFonts w:hint="eastAsia" w:eastAsiaTheme="minorEastAsia"/>
          <w:sz w:val="32"/>
          <w:szCs w:val="32"/>
          <w:lang w:val="en-US" w:eastAsia="zh-CN"/>
        </w:rPr>
        <w:t>· 防伪防窜货缺抓手，渠道串货难定位；</w:t>
      </w:r>
    </w:p>
    <w:p w14:paraId="0E033EFA">
      <w:pPr>
        <w:rPr>
          <w:rFonts w:hint="eastAsia" w:eastAsiaTheme="minorEastAsia"/>
          <w:sz w:val="32"/>
          <w:szCs w:val="32"/>
          <w:lang w:val="en-US" w:eastAsia="zh-CN"/>
        </w:rPr>
      </w:pPr>
      <w:r>
        <w:rPr>
          <w:rFonts w:hint="eastAsia" w:eastAsiaTheme="minorEastAsia"/>
          <w:sz w:val="32"/>
          <w:szCs w:val="32"/>
          <w:lang w:val="en-US" w:eastAsia="zh-CN"/>
        </w:rPr>
        <w:t>· 大、中、小包装须逐级"层级关联"，传统单码赋码在大包拆小包后追溯断链、不达标。</w:t>
      </w:r>
      <w:r>
        <w:rPr>
          <w:rFonts w:hint="eastAsia" w:eastAsiaTheme="minorEastAsia"/>
          <w:sz w:val="32"/>
          <w:szCs w:val="32"/>
          <w:lang w:val="en-US" w:eastAsia="zh-CN"/>
        </w:rPr>
        <w:br w:type="textWrapping"/>
      </w:r>
    </w:p>
    <w:p w14:paraId="7B1AB17D">
      <w:pPr>
        <w:rPr>
          <w:rFonts w:hint="eastAsia" w:eastAsiaTheme="minorEastAsia"/>
          <w:sz w:val="32"/>
          <w:szCs w:val="32"/>
          <w:lang w:val="en-US" w:eastAsia="zh-CN"/>
        </w:rPr>
      </w:pPr>
      <w:r>
        <w:rPr>
          <w:rFonts w:hint="eastAsia" w:eastAsiaTheme="minorEastAsia"/>
          <w:sz w:val="32"/>
          <w:szCs w:val="32"/>
          <w:lang w:val="en-US" w:eastAsia="zh-CN"/>
        </w:rPr>
        <w:t>（二）流通企业</w:t>
      </w:r>
    </w:p>
    <w:p w14:paraId="4D1905F1">
      <w:pPr>
        <w:rPr>
          <w:rFonts w:hint="eastAsia" w:eastAsiaTheme="minorEastAsia"/>
          <w:sz w:val="32"/>
          <w:szCs w:val="32"/>
          <w:lang w:val="en-US" w:eastAsia="zh-CN"/>
        </w:rPr>
      </w:pPr>
      <w:r>
        <w:rPr>
          <w:rFonts w:hint="eastAsia" w:eastAsiaTheme="minorEastAsia"/>
          <w:sz w:val="32"/>
          <w:szCs w:val="32"/>
          <w:lang w:val="en-US" w:eastAsia="zh-CN"/>
        </w:rPr>
        <w:t>· 入库须扫码核验，无码不收、无码不付；</w:t>
      </w:r>
    </w:p>
    <w:p w14:paraId="3018EB84">
      <w:pPr>
        <w:rPr>
          <w:rFonts w:hint="eastAsia" w:eastAsiaTheme="minorEastAsia"/>
          <w:sz w:val="32"/>
          <w:szCs w:val="32"/>
          <w:lang w:val="en-US" w:eastAsia="zh-CN"/>
        </w:rPr>
      </w:pPr>
      <w:r>
        <w:rPr>
          <w:rFonts w:hint="eastAsia" w:eastAsiaTheme="minorEastAsia"/>
          <w:sz w:val="32"/>
          <w:szCs w:val="32"/>
          <w:lang w:val="en-US" w:eastAsia="zh-CN"/>
        </w:rPr>
        <w:t>· 上下游码制不统一，系统对接成本高；</w:t>
      </w:r>
    </w:p>
    <w:p w14:paraId="3EACAAE3">
      <w:pPr>
        <w:rPr>
          <w:rFonts w:hint="eastAsia" w:eastAsiaTheme="minorEastAsia"/>
          <w:sz w:val="32"/>
          <w:szCs w:val="32"/>
          <w:lang w:val="en-US" w:eastAsia="zh-CN"/>
        </w:rPr>
      </w:pPr>
      <w:r>
        <w:rPr>
          <w:rFonts w:hint="eastAsia" w:eastAsiaTheme="minorEastAsia"/>
          <w:sz w:val="32"/>
          <w:szCs w:val="32"/>
          <w:lang w:val="en-US" w:eastAsia="zh-CN"/>
        </w:rPr>
        <w:t>· 库存与流向不透明，窜货预警缺位；</w:t>
      </w:r>
    </w:p>
    <w:p w14:paraId="3969381B">
      <w:pPr>
        <w:rPr>
          <w:rFonts w:hint="eastAsia" w:eastAsiaTheme="minorEastAsia"/>
          <w:sz w:val="32"/>
          <w:szCs w:val="32"/>
          <w:lang w:val="en-US" w:eastAsia="zh-CN"/>
        </w:rPr>
      </w:pPr>
      <w:r>
        <w:rPr>
          <w:rFonts w:hint="eastAsia" w:eastAsiaTheme="minorEastAsia"/>
          <w:sz w:val="32"/>
          <w:szCs w:val="32"/>
          <w:lang w:val="en-US" w:eastAsia="zh-CN"/>
        </w:rPr>
        <w:t>· 触碰"无码不付"处罚风险（外省已有真实案例）；</w:t>
      </w:r>
    </w:p>
    <w:p w14:paraId="5D90D385">
      <w:pPr>
        <w:rPr>
          <w:rFonts w:hint="eastAsia" w:eastAsiaTheme="minorEastAsia"/>
          <w:sz w:val="32"/>
          <w:szCs w:val="32"/>
          <w:lang w:val="en-US" w:eastAsia="zh-CN"/>
        </w:rPr>
      </w:pPr>
      <w:r>
        <w:rPr>
          <w:rFonts w:hint="eastAsia" w:eastAsiaTheme="minorEastAsia"/>
          <w:sz w:val="32"/>
          <w:szCs w:val="32"/>
          <w:lang w:val="en-US" w:eastAsia="zh-CN"/>
        </w:rPr>
        <w:t>· 上游包装未做层级关联，大包拆小包、调拨转手后无法逐级核验、追溯断点。</w:t>
      </w:r>
      <w:r>
        <w:rPr>
          <w:rFonts w:hint="eastAsia" w:eastAsiaTheme="minorEastAsia"/>
          <w:sz w:val="32"/>
          <w:szCs w:val="32"/>
          <w:lang w:val="en-US" w:eastAsia="zh-CN"/>
        </w:rPr>
        <w:br w:type="textWrapping"/>
      </w:r>
    </w:p>
    <w:p w14:paraId="5C625AA4">
      <w:pPr>
        <w:rPr>
          <w:rFonts w:hint="eastAsia" w:eastAsiaTheme="minorEastAsia"/>
          <w:sz w:val="32"/>
          <w:szCs w:val="32"/>
          <w:lang w:val="en-US" w:eastAsia="zh-CN"/>
        </w:rPr>
      </w:pPr>
      <w:r>
        <w:rPr>
          <w:rFonts w:hint="eastAsia" w:eastAsiaTheme="minorEastAsia"/>
          <w:sz w:val="32"/>
          <w:szCs w:val="32"/>
          <w:lang w:val="en-US" w:eastAsia="zh-CN"/>
        </w:rPr>
        <w:t>（三）医疗机构（医院）</w:t>
      </w:r>
    </w:p>
    <w:p w14:paraId="00ADBDB6">
      <w:pPr>
        <w:rPr>
          <w:rFonts w:hint="eastAsia" w:eastAsiaTheme="minorEastAsia"/>
          <w:sz w:val="32"/>
          <w:szCs w:val="32"/>
          <w:lang w:val="en-US" w:eastAsia="zh-CN"/>
        </w:rPr>
      </w:pPr>
      <w:r>
        <w:rPr>
          <w:rFonts w:hint="eastAsia" w:eastAsiaTheme="minorEastAsia"/>
          <w:sz w:val="32"/>
          <w:szCs w:val="32"/>
          <w:lang w:val="en-US" w:eastAsia="zh-CN"/>
        </w:rPr>
        <w:t>· 中药房散装、小包装饮片调剂前无码核验，用药安全留痕难；</w:t>
      </w:r>
    </w:p>
    <w:p w14:paraId="513720B3">
      <w:pPr>
        <w:rPr>
          <w:rFonts w:hint="eastAsia" w:eastAsiaTheme="minorEastAsia"/>
          <w:sz w:val="32"/>
          <w:szCs w:val="32"/>
          <w:lang w:val="en-US" w:eastAsia="zh-CN"/>
        </w:rPr>
      </w:pPr>
      <w:r>
        <w:rPr>
          <w:rFonts w:hint="eastAsia" w:eastAsiaTheme="minorEastAsia"/>
          <w:sz w:val="32"/>
          <w:szCs w:val="32"/>
          <w:lang w:val="en-US" w:eastAsia="zh-CN"/>
        </w:rPr>
        <w:t>· 开方—调配—核对环节存在追溯断点，医保合规风险高；</w:t>
      </w:r>
    </w:p>
    <w:p w14:paraId="5184BB88">
      <w:pPr>
        <w:rPr>
          <w:rFonts w:hint="eastAsia" w:eastAsiaTheme="minorEastAsia"/>
          <w:sz w:val="32"/>
          <w:szCs w:val="32"/>
          <w:lang w:val="en-US" w:eastAsia="zh-CN"/>
        </w:rPr>
      </w:pPr>
      <w:r>
        <w:rPr>
          <w:rFonts w:hint="eastAsia" w:eastAsiaTheme="minorEastAsia"/>
          <w:sz w:val="32"/>
          <w:szCs w:val="32"/>
          <w:lang w:val="en-US" w:eastAsia="zh-CN"/>
        </w:rPr>
        <w:t>· 飞检核"无码不结算"，无码进不了医保；</w:t>
      </w:r>
    </w:p>
    <w:p w14:paraId="1DC43CC3">
      <w:pPr>
        <w:rPr>
          <w:rFonts w:hint="eastAsia" w:eastAsiaTheme="minorEastAsia"/>
          <w:sz w:val="32"/>
          <w:szCs w:val="32"/>
          <w:lang w:val="en-US" w:eastAsia="zh-CN"/>
        </w:rPr>
      </w:pPr>
      <w:r>
        <w:rPr>
          <w:rFonts w:hint="eastAsia" w:eastAsiaTheme="minorEastAsia"/>
          <w:sz w:val="32"/>
          <w:szCs w:val="32"/>
          <w:lang w:val="en-US" w:eastAsia="zh-CN"/>
        </w:rPr>
        <w:t>· 串换、回流药骗保被重点打击；</w:t>
      </w:r>
    </w:p>
    <w:p w14:paraId="7C91E0D0">
      <w:pPr>
        <w:rPr>
          <w:rFonts w:hint="eastAsia" w:eastAsiaTheme="minorEastAsia"/>
          <w:sz w:val="32"/>
          <w:szCs w:val="32"/>
          <w:lang w:val="en-US" w:eastAsia="zh-CN"/>
        </w:rPr>
      </w:pPr>
      <w:r>
        <w:rPr>
          <w:rFonts w:hint="eastAsia" w:eastAsiaTheme="minorEastAsia"/>
          <w:sz w:val="32"/>
          <w:szCs w:val="32"/>
          <w:lang w:val="en-US" w:eastAsia="zh-CN"/>
        </w:rPr>
        <w:t>· 大包装拆零后上游又未做层级关联，逐剂、小袋无法回溯原批号与产地。</w:t>
      </w:r>
      <w:r>
        <w:rPr>
          <w:rFonts w:hint="eastAsia" w:eastAsiaTheme="minorEastAsia"/>
          <w:sz w:val="32"/>
          <w:szCs w:val="32"/>
          <w:lang w:val="en-US" w:eastAsia="zh-CN"/>
        </w:rPr>
        <w:br w:type="textWrapping"/>
      </w:r>
    </w:p>
    <w:p w14:paraId="2B5DCCD2">
      <w:pPr>
        <w:rPr>
          <w:rFonts w:hint="eastAsia" w:eastAsiaTheme="minorEastAsia"/>
          <w:sz w:val="32"/>
          <w:szCs w:val="32"/>
          <w:lang w:val="en-US" w:eastAsia="zh-CN"/>
        </w:rPr>
      </w:pPr>
      <w:r>
        <w:rPr>
          <w:rFonts w:hint="eastAsia" w:eastAsiaTheme="minorEastAsia"/>
          <w:sz w:val="32"/>
          <w:szCs w:val="32"/>
          <w:lang w:val="en-US" w:eastAsia="zh-CN"/>
        </w:rPr>
        <w:t>（四）零售药店</w:t>
      </w:r>
    </w:p>
    <w:p w14:paraId="279BDAE6">
      <w:pPr>
        <w:rPr>
          <w:rFonts w:hint="eastAsia" w:eastAsiaTheme="minorEastAsia"/>
          <w:sz w:val="32"/>
          <w:szCs w:val="32"/>
          <w:lang w:val="en-US" w:eastAsia="zh-CN"/>
        </w:rPr>
      </w:pPr>
      <w:r>
        <w:rPr>
          <w:rFonts w:hint="eastAsia" w:eastAsiaTheme="minorEastAsia"/>
          <w:sz w:val="32"/>
          <w:szCs w:val="32"/>
          <w:lang w:val="en-US" w:eastAsia="zh-CN"/>
        </w:rPr>
        <w:t>· 小票须显示追溯码，无码不付；</w:t>
      </w:r>
    </w:p>
    <w:p w14:paraId="2D65A087">
      <w:pPr>
        <w:rPr>
          <w:rFonts w:hint="eastAsia" w:eastAsiaTheme="minorEastAsia"/>
          <w:sz w:val="32"/>
          <w:szCs w:val="32"/>
          <w:lang w:val="en-US" w:eastAsia="zh-CN"/>
        </w:rPr>
      </w:pPr>
      <w:r>
        <w:rPr>
          <w:rFonts w:hint="eastAsia" w:eastAsiaTheme="minorEastAsia"/>
          <w:sz w:val="32"/>
          <w:szCs w:val="32"/>
          <w:lang w:val="en-US" w:eastAsia="zh-CN"/>
        </w:rPr>
        <w:t>· 入库核验防回收药、防串货，无码不敢收；</w:t>
      </w:r>
    </w:p>
    <w:p w14:paraId="3DDCD0BD">
      <w:pPr>
        <w:rPr>
          <w:rFonts w:hint="eastAsia" w:eastAsiaTheme="minorEastAsia"/>
          <w:sz w:val="32"/>
          <w:szCs w:val="32"/>
          <w:lang w:val="en-US" w:eastAsia="zh-CN"/>
        </w:rPr>
      </w:pPr>
      <w:r>
        <w:rPr>
          <w:rFonts w:hint="eastAsia" w:eastAsiaTheme="minorEastAsia"/>
          <w:sz w:val="32"/>
          <w:szCs w:val="32"/>
          <w:lang w:val="en-US" w:eastAsia="zh-CN"/>
        </w:rPr>
        <w:t>· 消费者扫码查溯源已成信任标配；</w:t>
      </w:r>
    </w:p>
    <w:p w14:paraId="4BA601C9">
      <w:pPr>
        <w:rPr>
          <w:rFonts w:hint="eastAsia" w:eastAsiaTheme="minorEastAsia"/>
          <w:sz w:val="32"/>
          <w:szCs w:val="32"/>
          <w:lang w:val="en-US" w:eastAsia="zh-CN"/>
        </w:rPr>
      </w:pPr>
      <w:r>
        <w:rPr>
          <w:rFonts w:hint="eastAsia" w:eastAsiaTheme="minorEastAsia"/>
          <w:sz w:val="32"/>
          <w:szCs w:val="32"/>
          <w:lang w:val="en-US" w:eastAsia="zh-CN"/>
        </w:rPr>
        <w:t>· 代客打粉、分装后小包装无码，成追溯断点、飞检易揪（拆零合规盲区）；</w:t>
      </w:r>
    </w:p>
    <w:p w14:paraId="4A01F129">
      <w:pPr>
        <w:rPr>
          <w:rFonts w:hint="eastAsia" w:eastAsiaTheme="minorEastAsia"/>
          <w:sz w:val="30"/>
          <w:szCs w:val="30"/>
          <w:lang w:val="en-US" w:eastAsia="zh-CN"/>
        </w:rPr>
      </w:pPr>
      <w:r>
        <w:rPr>
          <w:rFonts w:hint="eastAsia" w:eastAsiaTheme="minorEastAsia"/>
          <w:sz w:val="32"/>
          <w:szCs w:val="32"/>
          <w:lang w:val="en-US" w:eastAsia="zh-CN"/>
        </w:rPr>
        <w:t>· 上游小包装未带层级关联，分装后追溯完全断链。</w:t>
      </w:r>
      <w:r>
        <w:rPr>
          <w:rFonts w:hint="eastAsia" w:eastAsiaTheme="minorEastAsia"/>
          <w:sz w:val="32"/>
          <w:szCs w:val="32"/>
          <w:lang w:val="en-US" w:eastAsia="zh-CN"/>
        </w:rPr>
        <w:br w:type="textWrapping"/>
      </w:r>
      <w:r>
        <w:rPr>
          <w:rFonts w:hint="eastAsia" w:eastAsiaTheme="minorEastAsia"/>
          <w:sz w:val="32"/>
          <w:szCs w:val="32"/>
          <w:lang w:val="en-US" w:eastAsia="zh-CN"/>
        </w:rPr>
        <w:br w:type="textWrapping"/>
      </w:r>
      <w:r>
        <w:rPr>
          <w:rFonts w:hint="eastAsia" w:ascii="微软雅黑" w:hAnsi="微软雅黑" w:eastAsia="微软雅黑" w:cs="微软雅黑"/>
          <w:b/>
          <w:bCs/>
          <w:sz w:val="32"/>
          <w:szCs w:val="32"/>
          <w:lang w:val="en-US" w:eastAsia="zh-CN"/>
        </w:rPr>
        <w:t>四、合规落地服务支撑（供企业对接参考）</w:t>
      </w:r>
      <w:r>
        <w:rPr>
          <w:rFonts w:hint="eastAsia" w:eastAsiaTheme="minorEastAsia"/>
          <w:sz w:val="32"/>
          <w:szCs w:val="32"/>
          <w:lang w:val="en-US" w:eastAsia="zh-CN"/>
        </w:rPr>
        <w:br w:type="textWrapping"/>
      </w:r>
      <w:r>
        <w:rPr>
          <w:rFonts w:hint="eastAsia" w:eastAsiaTheme="minorEastAsia"/>
          <w:sz w:val="30"/>
          <w:szCs w:val="30"/>
          <w:lang w:val="en-US" w:eastAsia="zh-CN"/>
        </w:rPr>
        <w:t>为协助会员单位稳妥完成追溯码合规落地，协会倡导企业尽快对接具备备案资质的发码机构与符合编码规则的追溯系统。其中，</w:t>
      </w:r>
      <w:r>
        <w:rPr>
          <w:rFonts w:hint="eastAsia"/>
          <w:sz w:val="30"/>
          <w:szCs w:val="30"/>
          <w:lang w:val="en-US" w:eastAsia="zh-CN"/>
        </w:rPr>
        <w:t>河南恩初数据科技有限公司</w:t>
      </w:r>
      <w:r>
        <w:rPr>
          <w:rFonts w:hint="eastAsia" w:eastAsiaTheme="minorEastAsia"/>
          <w:sz w:val="30"/>
          <w:szCs w:val="30"/>
          <w:lang w:val="en-US" w:eastAsia="zh-CN"/>
        </w:rPr>
        <w:t>可作为合规服务支撑单位之一，具体情况如下：</w:t>
      </w:r>
    </w:p>
    <w:p w14:paraId="3BA1899F">
      <w:pPr>
        <w:rPr>
          <w:rFonts w:hint="eastAsia" w:eastAsiaTheme="minorEastAsia"/>
          <w:sz w:val="30"/>
          <w:szCs w:val="30"/>
          <w:lang w:val="en-US" w:eastAsia="zh-CN"/>
        </w:rPr>
      </w:pPr>
      <w:r>
        <w:rPr>
          <w:rFonts w:hint="eastAsia" w:eastAsiaTheme="minorEastAsia"/>
          <w:sz w:val="30"/>
          <w:szCs w:val="30"/>
          <w:lang w:val="en-US" w:eastAsia="zh-CN"/>
        </w:rPr>
        <w:t>（一）恩初的定位与资质</w:t>
      </w:r>
    </w:p>
    <w:p w14:paraId="4E3F6720">
      <w:pPr>
        <w:rPr>
          <w:rFonts w:hint="eastAsia" w:eastAsiaTheme="minorEastAsia"/>
          <w:sz w:val="32"/>
          <w:szCs w:val="32"/>
          <w:lang w:val="en-US" w:eastAsia="zh-CN"/>
        </w:rPr>
      </w:pPr>
      <w:r>
        <w:rPr>
          <w:rFonts w:hint="eastAsia" w:eastAsiaTheme="minorEastAsia"/>
          <w:sz w:val="32"/>
          <w:szCs w:val="32"/>
          <w:lang w:val="en-US" w:eastAsia="zh-CN"/>
        </w:rPr>
        <w:t>恩初系中关村二维码技术研究院（中码院）授权的 MA 码全国代理商，在</w:t>
      </w:r>
      <w:r>
        <w:rPr>
          <w:rFonts w:hint="eastAsia"/>
          <w:sz w:val="32"/>
          <w:szCs w:val="32"/>
          <w:lang w:val="en-US" w:eastAsia="zh-CN"/>
        </w:rPr>
        <w:t>全国</w:t>
      </w:r>
      <w:r>
        <w:rPr>
          <w:rFonts w:hint="eastAsia" w:eastAsiaTheme="minorEastAsia"/>
          <w:sz w:val="32"/>
          <w:szCs w:val="32"/>
          <w:lang w:val="en-US" w:eastAsia="zh-CN"/>
        </w:rPr>
        <w:t>开展落地运营，提供符合上述编码规则的 MA 码发码服务，以及完全自研的中药饮片追溯 SaaS 系统，系统覆盖标识追溯、生产采集、质量管理、出入库、市场管理与防窜货等全环节。</w:t>
      </w:r>
      <w:r>
        <w:rPr>
          <w:rFonts w:hint="eastAsia" w:eastAsiaTheme="minorEastAsia"/>
          <w:sz w:val="32"/>
          <w:szCs w:val="32"/>
          <w:lang w:val="en-US" w:eastAsia="zh-CN"/>
        </w:rPr>
        <w:br w:type="textWrapping"/>
      </w:r>
    </w:p>
    <w:p w14:paraId="5C8B5386">
      <w:pPr>
        <w:rPr>
          <w:rFonts w:hint="eastAsia" w:eastAsiaTheme="minorEastAsia"/>
          <w:sz w:val="32"/>
          <w:szCs w:val="32"/>
          <w:lang w:val="en-US" w:eastAsia="zh-CN"/>
        </w:rPr>
      </w:pPr>
      <w:r>
        <w:rPr>
          <w:rFonts w:hint="eastAsia" w:eastAsiaTheme="minorEastAsia"/>
          <w:sz w:val="32"/>
          <w:szCs w:val="32"/>
          <w:lang w:val="en-US" w:eastAsia="zh-CN"/>
        </w:rPr>
        <w:t>（二）恩初可为企业解决的问题</w:t>
      </w:r>
    </w:p>
    <w:p w14:paraId="3BA879D3">
      <w:pPr>
        <w:rPr>
          <w:rFonts w:hint="eastAsia" w:eastAsiaTheme="minorEastAsia"/>
          <w:sz w:val="32"/>
          <w:szCs w:val="32"/>
          <w:lang w:val="en-US" w:eastAsia="zh-CN"/>
        </w:rPr>
      </w:pPr>
      <w:r>
        <w:rPr>
          <w:rFonts w:hint="eastAsia" w:eastAsiaTheme="minorEastAsia"/>
          <w:sz w:val="32"/>
          <w:szCs w:val="32"/>
          <w:lang w:val="en-US" w:eastAsia="zh-CN"/>
        </w:rPr>
        <w:t>· 生产企业：出厂赋 MA 码即建包装层级关联，质量批次秒级定位召回，防伪防窜货，集采带码加分；</w:t>
      </w:r>
    </w:p>
    <w:p w14:paraId="70989156">
      <w:pPr>
        <w:rPr>
          <w:rFonts w:hint="eastAsia" w:eastAsiaTheme="minorEastAsia"/>
          <w:sz w:val="32"/>
          <w:szCs w:val="32"/>
          <w:lang w:val="en-US" w:eastAsia="zh-CN"/>
        </w:rPr>
      </w:pPr>
      <w:r>
        <w:rPr>
          <w:rFonts w:hint="eastAsia" w:eastAsiaTheme="minorEastAsia"/>
          <w:sz w:val="32"/>
          <w:szCs w:val="32"/>
          <w:lang w:val="en-US" w:eastAsia="zh-CN"/>
        </w:rPr>
        <w:t>· 流通企业：入库出库双扫码合规，逐级核验上游层级关联，库存流向透明，规避"无码不付"处罚；</w:t>
      </w:r>
    </w:p>
    <w:p w14:paraId="306F0205">
      <w:pPr>
        <w:rPr>
          <w:rFonts w:hint="eastAsia" w:eastAsiaTheme="minorEastAsia"/>
          <w:sz w:val="32"/>
          <w:szCs w:val="32"/>
          <w:lang w:val="en-US" w:eastAsia="zh-CN"/>
        </w:rPr>
      </w:pPr>
      <w:r>
        <w:rPr>
          <w:rFonts w:hint="eastAsia" w:eastAsiaTheme="minorEastAsia"/>
          <w:sz w:val="32"/>
          <w:szCs w:val="32"/>
          <w:lang w:val="en-US" w:eastAsia="zh-CN"/>
        </w:rPr>
        <w:t>· 医疗机构：中药房散装、拆零饮片逐剂绑定追溯，开方—调配—核对留痕，满足医保合规；</w:t>
      </w:r>
    </w:p>
    <w:p w14:paraId="7F965559">
      <w:pPr>
        <w:rPr>
          <w:rFonts w:hint="eastAsia" w:eastAsiaTheme="minorEastAsia"/>
          <w:sz w:val="32"/>
          <w:szCs w:val="32"/>
          <w:lang w:val="en-US" w:eastAsia="zh-CN"/>
        </w:rPr>
      </w:pPr>
      <w:r>
        <w:rPr>
          <w:rFonts w:hint="eastAsia" w:eastAsiaTheme="minorEastAsia"/>
          <w:sz w:val="32"/>
          <w:szCs w:val="32"/>
          <w:lang w:val="en-US" w:eastAsia="zh-CN"/>
        </w:rPr>
        <w:t>· 零售药店：门店出入库与小程序核验，拆零环节同步赋码，消费者扫码增信；</w:t>
      </w:r>
    </w:p>
    <w:p w14:paraId="711A760B">
      <w:pPr>
        <w:rPr>
          <w:rFonts w:hint="eastAsia" w:eastAsiaTheme="minorEastAsia"/>
          <w:sz w:val="32"/>
          <w:szCs w:val="32"/>
          <w:lang w:val="en-US" w:eastAsia="zh-CN"/>
        </w:rPr>
      </w:pPr>
      <w:r>
        <w:rPr>
          <w:rFonts w:hint="eastAsia" w:eastAsiaTheme="minorEastAsia"/>
          <w:sz w:val="32"/>
          <w:szCs w:val="32"/>
          <w:lang w:val="en-US" w:eastAsia="zh-CN"/>
        </w:rPr>
        <w:t>· 共性支撑：码源合规（MA 码符合 ISO/IEC 15459 国际标准）、数据归企业自主、本地化实施与培训、工单闭环。</w:t>
      </w:r>
      <w:r>
        <w:rPr>
          <w:rFonts w:hint="eastAsia" w:eastAsiaTheme="minorEastAsia"/>
          <w:sz w:val="32"/>
          <w:szCs w:val="32"/>
          <w:lang w:val="en-US" w:eastAsia="zh-CN"/>
        </w:rPr>
        <w:br w:type="textWrapping"/>
      </w:r>
    </w:p>
    <w:p w14:paraId="0D7AD346">
      <w:pPr>
        <w:rPr>
          <w:rFonts w:hint="eastAsia" w:eastAsiaTheme="minorEastAsia"/>
          <w:sz w:val="32"/>
          <w:szCs w:val="32"/>
          <w:lang w:val="en-US" w:eastAsia="zh-CN"/>
        </w:rPr>
      </w:pPr>
      <w:r>
        <w:rPr>
          <w:rFonts w:hint="eastAsia" w:eastAsiaTheme="minorEastAsia"/>
          <w:sz w:val="32"/>
          <w:szCs w:val="32"/>
          <w:lang w:val="en-US" w:eastAsia="zh-CN"/>
        </w:rPr>
        <w:t>（三）协会倡议</w:t>
      </w:r>
    </w:p>
    <w:p w14:paraId="345EEC12">
      <w:pPr>
        <w:rPr>
          <w:rFonts w:hint="eastAsia" w:eastAsiaTheme="minorEastAsia"/>
          <w:sz w:val="32"/>
          <w:szCs w:val="32"/>
          <w:lang w:val="en-US" w:eastAsia="zh-CN"/>
        </w:rPr>
      </w:pPr>
      <w:r>
        <w:rPr>
          <w:rFonts w:hint="eastAsia" w:eastAsiaTheme="minorEastAsia"/>
          <w:sz w:val="32"/>
          <w:szCs w:val="32"/>
          <w:lang w:val="en-US" w:eastAsia="zh-CN"/>
        </w:rPr>
        <w:t>建议各会员单位结合自身实际，尽快启动追溯码合规评估与系统对接；协会可协调包括恩初在内的合规服务商，为有需要的企业提供政策咨询、方案设计与实施支持，共同推进行业中药饮片"一物一码、全程可溯"目标落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D11FF"/>
    <w:rsid w:val="00711162"/>
    <w:rsid w:val="025D1970"/>
    <w:rsid w:val="09FA351A"/>
    <w:rsid w:val="0BED443C"/>
    <w:rsid w:val="1E6E4FD1"/>
    <w:rsid w:val="674C3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2520</Words>
  <Characters>2582</Characters>
  <Lines>0</Lines>
  <Paragraphs>0</Paragraphs>
  <TotalTime>172</TotalTime>
  <ScaleCrop>false</ScaleCrop>
  <LinksUpToDate>false</LinksUpToDate>
  <CharactersWithSpaces>2665</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2026-09-23T02:10:00Z</dcterms:created>
  <dc:creator>Administrator</dc:creator>
  <cp:lastModifiedBy>初心</cp:lastModifiedBy>
  <dcterms:modified xsi:type="dcterms:W3CDTF">2026-10-17T09:29:22Z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KSOTemplateDocerSaveRecord">
    <vt:lpwstr>eyJoZGlkIjoiM2U2MTViZTIyYzdlMjk5YWE2NGYzNjI3ZGEwNWM0ZTciLCJ1c2VySWQiOiI0MTQwMDk1MTQifQ==</vt:lpwstr>
  </property>
  <property fmtid="{D5CDD505-2E9C-101B-9397-08002B2CF9AE}" pid="4" name="ICV">
    <vt:lpwstr>7F626DB07812486E903A0EB4CA15D725_13</vt:lpwstr>
  </property>
</Properties>
</file>